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483"/>
      </w:tblGrid>
      <w:tr w:rsidR="003169B2" w:rsidTr="00574275">
        <w:trPr>
          <w:trHeight w:val="1805"/>
        </w:trPr>
        <w:tc>
          <w:tcPr>
            <w:tcW w:w="3483" w:type="dxa"/>
          </w:tcPr>
          <w:p w:rsidR="003169B2" w:rsidRPr="008F61FA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8F61FA">
              <w:rPr>
                <w:kern w:val="0"/>
                <w:sz w:val="16"/>
                <w:szCs w:val="16"/>
              </w:rPr>
              <w:t>Data złożenia sprawozdania</w:t>
            </w:r>
          </w:p>
          <w:p w:rsidR="003169B2" w:rsidRPr="008F61FA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8F61FA">
              <w:rPr>
                <w:kern w:val="0"/>
                <w:sz w:val="16"/>
                <w:szCs w:val="16"/>
              </w:rPr>
              <w:t>(wypełnia pracownik Urzędu Miasta Rzeszowa)</w:t>
            </w: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</w:tc>
      </w:tr>
    </w:tbl>
    <w:p w:rsidR="00AB6BE1" w:rsidRPr="00574275" w:rsidRDefault="00574275" w:rsidP="00574275">
      <w:pPr>
        <w:rPr>
          <w:b/>
          <w:sz w:val="16"/>
          <w:szCs w:val="24"/>
        </w:rPr>
      </w:pPr>
      <w:r w:rsidRPr="00574275">
        <w:rPr>
          <w:b/>
          <w:sz w:val="16"/>
          <w:szCs w:val="24"/>
        </w:rPr>
        <w:t>Znak sprawy………………………………….….…..</w:t>
      </w:r>
      <w:r>
        <w:rPr>
          <w:b/>
          <w:sz w:val="16"/>
          <w:szCs w:val="24"/>
        </w:rPr>
        <w:t xml:space="preserve">                                                                                                                                    </w:t>
      </w:r>
      <w:r w:rsidR="003169B2" w:rsidRPr="008F61FA">
        <w:rPr>
          <w:kern w:val="0"/>
        </w:rPr>
        <w:t xml:space="preserve">Załącznik Nr </w:t>
      </w:r>
      <w:r w:rsidR="00596D06">
        <w:rPr>
          <w:kern w:val="0"/>
        </w:rPr>
        <w:t>6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 xml:space="preserve">do Zarządzenia Nr </w:t>
      </w:r>
      <w:r w:rsidR="00EA717D">
        <w:rPr>
          <w:kern w:val="0"/>
        </w:rPr>
        <w:t>VII</w:t>
      </w:r>
      <w:r w:rsidRPr="008F61FA">
        <w:rPr>
          <w:kern w:val="0"/>
        </w:rPr>
        <w:t>/</w:t>
      </w:r>
      <w:r w:rsidR="00EA717D">
        <w:rPr>
          <w:kern w:val="0"/>
        </w:rPr>
        <w:t>1536</w:t>
      </w:r>
      <w:r w:rsidRPr="008F61FA">
        <w:rPr>
          <w:kern w:val="0"/>
        </w:rPr>
        <w:t>/2018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>Prezydenta Miasta Rzeszowa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 xml:space="preserve">z dnia </w:t>
      </w:r>
      <w:r w:rsidR="00EA717D">
        <w:rPr>
          <w:kern w:val="0"/>
        </w:rPr>
        <w:t>26</w:t>
      </w:r>
      <w:bookmarkStart w:id="0" w:name="_GoBack"/>
      <w:bookmarkEnd w:id="0"/>
      <w:r w:rsidRPr="008F61FA">
        <w:rPr>
          <w:kern w:val="0"/>
        </w:rPr>
        <w:t xml:space="preserve"> stycznia 2018 r.</w:t>
      </w:r>
    </w:p>
    <w:p w:rsidR="004E3770" w:rsidRPr="008F61FA" w:rsidRDefault="004E3770" w:rsidP="004E3770">
      <w:pPr>
        <w:pStyle w:val="Standard"/>
        <w:spacing w:before="240"/>
        <w:rPr>
          <w:rFonts w:ascii="Times New Roman" w:hAnsi="Times New Roman" w:cs="Times New Roman"/>
        </w:rPr>
      </w:pPr>
    </w:p>
    <w:p w:rsidR="00027330" w:rsidRDefault="00027330" w:rsidP="004E3770">
      <w:pPr>
        <w:pStyle w:val="Standard"/>
        <w:spacing w:before="240"/>
        <w:rPr>
          <w:rFonts w:ascii="Times New Roman" w:hAnsi="Times New Roman" w:cs="Times New Roman"/>
          <w:sz w:val="24"/>
          <w:szCs w:val="24"/>
        </w:rPr>
      </w:pPr>
    </w:p>
    <w:p w:rsidR="00027330" w:rsidRPr="008F61FA" w:rsidRDefault="00027330" w:rsidP="004E3770">
      <w:pPr>
        <w:pStyle w:val="Standard"/>
        <w:spacing w:before="240"/>
        <w:rPr>
          <w:rFonts w:ascii="Times New Roman" w:hAnsi="Times New Roman" w:cs="Times New Roman"/>
          <w:sz w:val="24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E408E6" w:rsidRPr="008F61FA" w:rsidRDefault="00AC282E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  <w:r w:rsidRPr="008F61FA">
        <w:rPr>
          <w:rFonts w:ascii="Times New Roman" w:hAnsi="Times New Roman" w:cs="Times New Roman"/>
          <w:szCs w:val="24"/>
        </w:rPr>
        <w:t>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  <w:r w:rsidR="004E3770" w:rsidRPr="008F61FA">
        <w:rPr>
          <w:rFonts w:ascii="Times New Roman" w:hAnsi="Times New Roman" w:cs="Times New Roman"/>
          <w:szCs w:val="24"/>
        </w:rPr>
        <w:t xml:space="preserve">............................ </w:t>
      </w:r>
      <w:r w:rsidRPr="008F61FA">
        <w:rPr>
          <w:rFonts w:ascii="Times New Roman" w:hAnsi="Times New Roman" w:cs="Times New Roman"/>
          <w:szCs w:val="24"/>
        </w:rPr>
        <w:tab/>
      </w:r>
      <w:r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Pr="008F61FA">
        <w:rPr>
          <w:rFonts w:ascii="Times New Roman" w:hAnsi="Times New Roman" w:cs="Times New Roman"/>
          <w:szCs w:val="24"/>
        </w:rPr>
        <w:t>..................................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</w:p>
    <w:p w:rsidR="00E408E6" w:rsidRPr="008F61FA" w:rsidRDefault="00BA3C7E" w:rsidP="00BA3C7E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C282E" w:rsidRPr="008F61FA">
        <w:rPr>
          <w:rFonts w:ascii="Times New Roman" w:hAnsi="Times New Roman" w:cs="Times New Roman"/>
          <w:szCs w:val="24"/>
        </w:rPr>
        <w:t xml:space="preserve">(pieczęć klubu sportowego)       </w:t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="00AC282E" w:rsidRPr="008F61FA">
        <w:rPr>
          <w:rFonts w:ascii="Times New Roman" w:hAnsi="Times New Roman" w:cs="Times New Roman"/>
          <w:szCs w:val="24"/>
        </w:rPr>
        <w:t>(miejscowość i data)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169B2" w:rsidRPr="008F61FA" w:rsidRDefault="003169B2" w:rsidP="00027330">
      <w:pPr>
        <w:pStyle w:val="Nagwek1"/>
        <w:ind w:left="432"/>
        <w:jc w:val="left"/>
        <w:rPr>
          <w:rFonts w:ascii="Times New Roman" w:hAnsi="Times New Roman" w:cs="Times New Roman"/>
          <w:szCs w:val="24"/>
        </w:rPr>
      </w:pPr>
    </w:p>
    <w:p w:rsidR="003169B2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8F61FA">
        <w:rPr>
          <w:rFonts w:ascii="Times New Roman" w:hAnsi="Times New Roman" w:cs="Times New Roman"/>
          <w:sz w:val="40"/>
          <w:szCs w:val="24"/>
        </w:rPr>
        <w:t>SPRAWOZDANIE</w:t>
      </w:r>
    </w:p>
    <w:p w:rsidR="00E408E6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8F61FA">
        <w:rPr>
          <w:rFonts w:ascii="Times New Roman" w:hAnsi="Times New Roman" w:cs="Times New Roman"/>
          <w:bCs/>
          <w:sz w:val="20"/>
          <w:szCs w:val="24"/>
        </w:rPr>
        <w:t>z realizacji</w:t>
      </w:r>
      <w:r w:rsidR="00AC282E" w:rsidRPr="008F61FA">
        <w:rPr>
          <w:rFonts w:ascii="Times New Roman" w:hAnsi="Times New Roman" w:cs="Times New Roman"/>
          <w:bCs/>
          <w:sz w:val="20"/>
          <w:szCs w:val="24"/>
        </w:rPr>
        <w:t xml:space="preserve"> zadania z zakresu sportu w 2018 roku</w:t>
      </w:r>
    </w:p>
    <w:p w:rsidR="003169B2" w:rsidRPr="008F61FA" w:rsidRDefault="00AC282E" w:rsidP="003169B2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8F61FA">
        <w:rPr>
          <w:rFonts w:ascii="Times New Roman" w:hAnsi="Times New Roman" w:cs="Times New Roman"/>
          <w:szCs w:val="24"/>
        </w:rPr>
        <w:t>s</w:t>
      </w:r>
      <w:r w:rsidR="00343C36" w:rsidRPr="008F61FA">
        <w:rPr>
          <w:rFonts w:ascii="Times New Roman" w:hAnsi="Times New Roman" w:cs="Times New Roman"/>
          <w:szCs w:val="24"/>
        </w:rPr>
        <w:t>kładany na podstawie przepisów U</w:t>
      </w:r>
      <w:r w:rsidRPr="008F61FA">
        <w:rPr>
          <w:rFonts w:ascii="Times New Roman" w:hAnsi="Times New Roman" w:cs="Times New Roman"/>
          <w:szCs w:val="24"/>
        </w:rPr>
        <w:t>chwały Nr LXV/1216/2013 Rady Miasta Rzeszowa z dnia 17 grudnia 2013 r. w sprawie określenia warunków oraz trybu finansowania rozwoju sportu przez Gminę Miasto Rzeszów</w:t>
      </w:r>
    </w:p>
    <w:p w:rsidR="00BD46C2" w:rsidRPr="008F61FA" w:rsidRDefault="00BD46C2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6C2" w:rsidRPr="008F61FA" w:rsidRDefault="00B45DE0" w:rsidP="00B45DE0">
      <w:pPr>
        <w:pStyle w:val="Standard"/>
        <w:rPr>
          <w:rFonts w:ascii="Times New Roman" w:hAnsi="Times New Roman" w:cs="Times New Roman"/>
          <w:b/>
          <w:i/>
          <w:sz w:val="24"/>
          <w:szCs w:val="24"/>
        </w:rPr>
      </w:pPr>
      <w:r w:rsidRPr="008F61FA">
        <w:rPr>
          <w:rFonts w:ascii="Times New Roman" w:hAnsi="Times New Roman" w:cs="Times New Roman"/>
          <w:b/>
          <w:i/>
          <w:color w:val="000000"/>
          <w:sz w:val="24"/>
          <w:szCs w:val="24"/>
        </w:rPr>
        <w:t>WAŻNE! NALEŻY WYPEŁNIĆ WSZYSTKIE POLA</w:t>
      </w:r>
    </w:p>
    <w:p w:rsidR="00E408E6" w:rsidRPr="008F61FA" w:rsidRDefault="00E408E6" w:rsidP="008B18C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D46C2" w:rsidRPr="008B18CD" w:rsidRDefault="00AC282E" w:rsidP="008B18CD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Rodzaj zadania publ</w:t>
      </w:r>
      <w:r w:rsidR="00BA3C7E">
        <w:rPr>
          <w:rFonts w:ascii="Times New Roman" w:hAnsi="Times New Roman" w:cs="Times New Roman"/>
          <w:color w:val="000000"/>
          <w:sz w:val="24"/>
          <w:szCs w:val="24"/>
        </w:rPr>
        <w:t xml:space="preserve">icznego – zgodnie z ogłoszeniem </w:t>
      </w:r>
      <w:r w:rsidR="00BA3C7E" w:rsidRPr="00BA3C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3C7E" w:rsidRPr="00BA3C7E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 w:rsidR="00BA3C7E" w:rsidRPr="00BA3C7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seniorów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imprez sportowych na terenie Miasta Rzeszów 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klubów w imprezach sportowych poza Miastem Rzeszowem  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9E7879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color w:val="000000"/>
                <w:szCs w:val="24"/>
              </w:rPr>
              <w:t>Rzeszowski Budżet Obywatelski – Piłka nożna jako alternatywa dla komputera – program zorganizowanych zajęć sportowych dla dzieci z rzeszowskich osiedli</w:t>
            </w:r>
          </w:p>
        </w:tc>
      </w:tr>
    </w:tbl>
    <w:p w:rsidR="00E408E6" w:rsidRPr="008F61FA" w:rsidRDefault="00AC282E">
      <w:pPr>
        <w:pStyle w:val="Standard"/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08E6" w:rsidRPr="008F61FA" w:rsidRDefault="00AC282E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Tytuł zadania publicznego: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70475F">
        <w:trPr>
          <w:trHeight w:val="819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 w:rsidP="00086D87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27330" w:rsidRDefault="00027330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CD" w:rsidRPr="008F61FA" w:rsidRDefault="008B18CD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F61FA" w:rsidRDefault="00AC282E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</w:p>
    <w:tbl>
      <w:tblPr>
        <w:tblW w:w="1007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0"/>
      </w:tblGrid>
      <w:tr w:rsidR="00E408E6" w:rsidRPr="008F61FA" w:rsidTr="0070475F">
        <w:trPr>
          <w:trHeight w:val="464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Default="00E408E6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CD" w:rsidRDefault="008B18CD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30" w:rsidRPr="008F61FA" w:rsidRDefault="00027330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F61FA" w:rsidRDefault="00AC282E" w:rsidP="008B18C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773"/>
      </w:tblGrid>
      <w:tr w:rsidR="00E408E6" w:rsidRPr="008F61FA" w:rsidTr="0070475F">
        <w:trPr>
          <w:trHeight w:val="647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 w:rsidP="003169B2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 xml:space="preserve">do </w:t>
            </w: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3169B2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Przyznana</w:t>
      </w:r>
      <w:r w:rsidR="00AC282E"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kwota dotacji: 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70475F">
        <w:trPr>
          <w:trHeight w:val="434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BB2B99" w:rsidRDefault="00E408E6" w:rsidP="000273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BB2B99" w:rsidRDefault="008B18CD" w:rsidP="0002733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B99">
        <w:rPr>
          <w:rFonts w:ascii="Times New Roman" w:hAnsi="Times New Roman" w:cs="Times New Roman"/>
          <w:sz w:val="24"/>
          <w:szCs w:val="24"/>
        </w:rPr>
        <w:t xml:space="preserve">Numer umowy, data zawarcia i nazwa </w:t>
      </w:r>
      <w:r w:rsidR="00BB2B99" w:rsidRPr="00BB2B99">
        <w:rPr>
          <w:rFonts w:ascii="Times New Roman" w:hAnsi="Times New Roman" w:cs="Times New Roman"/>
          <w:sz w:val="24"/>
          <w:szCs w:val="24"/>
        </w:rPr>
        <w:t>Klubu.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475F" w:rsidTr="00027330">
        <w:trPr>
          <w:trHeight w:val="568"/>
        </w:trPr>
        <w:tc>
          <w:tcPr>
            <w:tcW w:w="10060" w:type="dxa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Numer umowy</w:t>
            </w:r>
            <w:r w:rsidR="00BA3C7E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027330">
        <w:trPr>
          <w:trHeight w:val="568"/>
        </w:trPr>
        <w:tc>
          <w:tcPr>
            <w:tcW w:w="10060" w:type="dxa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Data zawarcia</w:t>
            </w:r>
          </w:p>
        </w:tc>
      </w:tr>
      <w:tr w:rsidR="0070475F" w:rsidTr="00BA3C7E">
        <w:trPr>
          <w:trHeight w:val="552"/>
        </w:trPr>
        <w:tc>
          <w:tcPr>
            <w:tcW w:w="10060" w:type="dxa"/>
          </w:tcPr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 xml:space="preserve">Umowa zawarta, pomiędzy Gminą Miasto Rzeszów, a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……………………………………………………………….</w:t>
            </w:r>
          </w:p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70475F" w:rsidRDefault="0070475F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70475F" w:rsidRDefault="0069297D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I. Sprawozdanie rzeczowe</w:t>
      </w:r>
    </w:p>
    <w:p w:rsidR="00E408E6" w:rsidRPr="008F61FA" w:rsidRDefault="0069297D">
      <w:pPr>
        <w:pStyle w:val="Standard"/>
        <w:numPr>
          <w:ilvl w:val="0"/>
          <w:numId w:val="15"/>
        </w:numPr>
        <w:spacing w:before="2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Czy zakładane cele i rezultaty zostały osiągnięte w wymiarze określonym we wniosku? W jakim stopniu zadanie przyczyniło się do realizacji Strategii Rozwoju Spor</w:t>
      </w:r>
      <w:r w:rsidR="00027330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BA3C7E">
        <w:rPr>
          <w:rFonts w:ascii="Times New Roman" w:hAnsi="Times New Roman" w:cs="Times New Roman"/>
          <w:color w:val="000000"/>
          <w:sz w:val="24"/>
          <w:szCs w:val="24"/>
        </w:rPr>
        <w:t xml:space="preserve"> Rzeszowa</w:t>
      </w:r>
      <w:r w:rsidR="00027330">
        <w:rPr>
          <w:rFonts w:ascii="Times New Roman" w:hAnsi="Times New Roman" w:cs="Times New Roman"/>
          <w:color w:val="000000"/>
          <w:sz w:val="24"/>
          <w:szCs w:val="24"/>
        </w:rPr>
        <w:t xml:space="preserve"> i jej celów szczegółowych, w 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>jakim stopniu zadanie przyczyniło się do realizacji programu edukacji sportowej. Jeśli założone cele nie zostały osiągnięte proszę wyjaśnić dlaczego?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027330">
        <w:trPr>
          <w:trHeight w:val="740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70475F" w:rsidRDefault="0069297D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II. Sprawozdanie finansowe z wykonania wydatków</w:t>
      </w:r>
    </w:p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027330" w:rsidRDefault="0069297D" w:rsidP="00027330">
      <w:pPr>
        <w:pStyle w:val="Standard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Rozliczenie ze względu na rodzaj kosztów (w zł)</w:t>
      </w:r>
    </w:p>
    <w:tbl>
      <w:tblPr>
        <w:tblW w:w="100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70"/>
        <w:gridCol w:w="1735"/>
        <w:gridCol w:w="1750"/>
        <w:gridCol w:w="1750"/>
      </w:tblGrid>
      <w:tr w:rsidR="00E408E6" w:rsidRPr="008F61FA" w:rsidTr="00027330">
        <w:trPr>
          <w:cantSplit/>
          <w:trHeight w:val="879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027330" w:rsidRDefault="00AC282E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E408E6" w:rsidRPr="00027330" w:rsidRDefault="00E408E6">
            <w:pPr>
              <w:pStyle w:val="Table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027330" w:rsidRDefault="00AC282E" w:rsidP="00A21724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027330" w:rsidRDefault="00AC282E" w:rsidP="00A21724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(koszty merytoryczne i administracyjne związane z realizacją zadania)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027330" w:rsidRDefault="00AC282E" w:rsidP="00A21724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027330" w:rsidRDefault="00AC282E" w:rsidP="00A21724">
            <w:pPr>
              <w:pStyle w:val="Table"/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 w:rsidP="00A21724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E408E6" w:rsidRPr="00027330" w:rsidRDefault="00AC282E" w:rsidP="00A21724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Finansowych środki własne oraz inne źródła</w:t>
            </w:r>
          </w:p>
        </w:tc>
      </w:tr>
      <w:tr w:rsidR="00A21724" w:rsidRPr="008F61FA" w:rsidTr="00027330">
        <w:trPr>
          <w:cantSplit/>
          <w:trHeight w:val="384"/>
        </w:trPr>
        <w:tc>
          <w:tcPr>
            <w:tcW w:w="1003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 w:rsidP="00A21724">
            <w:pPr>
              <w:pStyle w:val="Table"/>
              <w:tabs>
                <w:tab w:val="left" w:pos="19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21724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21724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Wynajem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Opieka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Zakup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umowy zawarte z firmami ochroniarskimi; 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opłaty startowe;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wynagrodzenia trenerskie i instruktorskie wraz z 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udział w szkoleniach kadry instruktorsko – trenerskiej;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zakupu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ubezpieczenia OC klubu i</w:t>
            </w:r>
            <w:r w:rsidR="00027330">
              <w:rPr>
                <w:rFonts w:ascii="Times New Roman" w:hAnsi="Times New Roman" w:cs="Times New Roman"/>
              </w:rPr>
              <w:t xml:space="preserve"> NW zawodników i </w:t>
            </w:r>
            <w:r w:rsidRPr="00027330">
              <w:rPr>
                <w:rFonts w:ascii="Times New Roman" w:hAnsi="Times New Roman" w:cs="Times New Roman"/>
              </w:rPr>
              <w:t>trenerów;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koszty zakupu nagród (pucharów, medali).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wydatki określone w § 3 ust. 4 Uchwały Nr LXV/1216/2013</w:t>
            </w:r>
            <w:r w:rsidR="00027330">
              <w:rPr>
                <w:rFonts w:ascii="Times New Roman" w:hAnsi="Times New Roman" w:cs="Times New Roman"/>
              </w:rPr>
              <w:t xml:space="preserve"> Rady Miasta Rzeszowa z dnia 17 </w:t>
            </w:r>
            <w:r w:rsidRPr="00027330">
              <w:rPr>
                <w:rFonts w:ascii="Times New Roman" w:hAnsi="Times New Roman" w:cs="Times New Roman"/>
              </w:rPr>
              <w:t>grudnia 2013 r. (pokryte tylko z finansowych środków własnych oraz z innych źródeł (w zł))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F61FA" w:rsidTr="00027330">
        <w:trPr>
          <w:cantSplit/>
          <w:trHeight w:val="380"/>
        </w:trPr>
        <w:tc>
          <w:tcPr>
            <w:tcW w:w="1003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E408E6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AC282E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koszty ogólne zarządu i administracji (w tym m.in.: opłaty czynszowe, opłaty mediów, zakup artykułów</w:t>
            </w:r>
            <w:r w:rsidR="00027330">
              <w:rPr>
                <w:rFonts w:ascii="Times New Roman" w:hAnsi="Times New Roman" w:cs="Times New Roman"/>
              </w:rPr>
              <w:t xml:space="preserve"> i </w:t>
            </w:r>
            <w:r w:rsidRPr="00027330">
              <w:rPr>
                <w:rFonts w:ascii="Times New Roman" w:hAnsi="Times New Roman" w:cs="Times New Roman"/>
              </w:rPr>
              <w:t>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027330" w:rsidRDefault="00E408E6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F61FA" w:rsidTr="00027330">
        <w:trPr>
          <w:cantSplit/>
          <w:trHeight w:val="38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7330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F61FA" w:rsidTr="00027330">
        <w:trPr>
          <w:cantSplit/>
          <w:trHeight w:val="380"/>
        </w:trPr>
        <w:tc>
          <w:tcPr>
            <w:tcW w:w="48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 w:rsidP="00A2172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27330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027330" w:rsidRDefault="00A21724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69297D" w:rsidRPr="008F61FA" w:rsidRDefault="006929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AC282E" w:rsidP="0069297D">
      <w:pPr>
        <w:pStyle w:val="Standard"/>
        <w:numPr>
          <w:ilvl w:val="1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Przewidywane źródła finansowania zadania</w:t>
      </w:r>
    </w:p>
    <w:tbl>
      <w:tblPr>
        <w:tblW w:w="100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8"/>
        <w:gridCol w:w="1649"/>
        <w:gridCol w:w="2410"/>
      </w:tblGrid>
      <w:tr w:rsidR="00E408E6" w:rsidRPr="008F61FA" w:rsidTr="00027330">
        <w:trPr>
          <w:trHeight w:val="506"/>
        </w:trPr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8F61FA" w:rsidRDefault="00AC282E">
            <w:pPr>
              <w:pStyle w:val="Table"/>
              <w:snapToGrid w:val="0"/>
              <w:rPr>
                <w:rFonts w:ascii="Times New Roman" w:hAnsi="Times New Roman" w:cs="Times New Roman"/>
                <w:i w:val="0"/>
              </w:rPr>
            </w:pPr>
            <w:r w:rsidRPr="008F61FA">
              <w:rPr>
                <w:rFonts w:ascii="Times New Roman" w:hAnsi="Times New Roman" w:cs="Times New Roman"/>
                <w:i w:val="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61FA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61FA">
              <w:rPr>
                <w:rFonts w:ascii="Times New Roman" w:hAnsi="Times New Roman" w:cs="Times New Roman"/>
              </w:rPr>
              <w:t>%</w:t>
            </w:r>
          </w:p>
        </w:tc>
      </w:tr>
      <w:tr w:rsidR="00E408E6" w:rsidRPr="008F61FA" w:rsidTr="00027330">
        <w:trPr>
          <w:trHeight w:val="532"/>
        </w:trPr>
        <w:tc>
          <w:tcPr>
            <w:tcW w:w="5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8F61FA">
              <w:rPr>
                <w:rFonts w:ascii="Times New Roman" w:hAnsi="Times New Roman" w:cs="Times New Roman"/>
                <w:i w:val="0"/>
              </w:rPr>
              <w:t xml:space="preserve">Wnioskowana kwota dotacji </w:t>
            </w:r>
          </w:p>
          <w:p w:rsidR="00E408E6" w:rsidRPr="008F61FA" w:rsidRDefault="00AC282E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8F61FA">
              <w:rPr>
                <w:rFonts w:ascii="Times New Roman" w:hAnsi="Times New Roman" w:cs="Times New Roman"/>
                <w:i w:val="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408E6" w:rsidRPr="008F61FA" w:rsidTr="00027330">
        <w:trPr>
          <w:trHeight w:val="436"/>
        </w:trPr>
        <w:tc>
          <w:tcPr>
            <w:tcW w:w="5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F61FA">
              <w:rPr>
                <w:rFonts w:ascii="Times New Roman" w:hAnsi="Times New Roman" w:cs="Times New Roman"/>
                <w:i w:val="0"/>
              </w:rPr>
              <w:t xml:space="preserve">Finansowe środki własne oraz inne źródła </w:t>
            </w:r>
          </w:p>
          <w:p w:rsidR="00E408E6" w:rsidRPr="008F61FA" w:rsidRDefault="00AC282E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F61FA">
              <w:rPr>
                <w:rFonts w:ascii="Times New Roman" w:hAnsi="Times New Roman" w:cs="Times New Roman"/>
                <w:i w:val="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408E6" w:rsidRPr="008F61FA" w:rsidTr="00027330">
        <w:trPr>
          <w:trHeight w:val="528"/>
        </w:trPr>
        <w:tc>
          <w:tcPr>
            <w:tcW w:w="5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 w:rsidRPr="008F61FA">
              <w:rPr>
                <w:rFonts w:ascii="Times New Roman" w:hAnsi="Times New Roman" w:cs="Times New Roman"/>
              </w:rPr>
              <w:t xml:space="preserve"> </w:t>
            </w:r>
            <w:r w:rsidRPr="008F61FA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AC282E">
            <w:pPr>
              <w:pStyle w:val="Tabl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61FA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7D" w:rsidRPr="008F61FA" w:rsidRDefault="0069297D" w:rsidP="0069297D">
      <w:pPr>
        <w:pStyle w:val="Standard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b/>
          <w:sz w:val="24"/>
          <w:szCs w:val="24"/>
        </w:rPr>
        <w:t>Zes</w:t>
      </w:r>
      <w:r w:rsidR="00BA3C7E">
        <w:rPr>
          <w:rFonts w:ascii="Times New Roman" w:hAnsi="Times New Roman" w:cs="Times New Roman"/>
          <w:b/>
          <w:sz w:val="24"/>
          <w:szCs w:val="24"/>
        </w:rPr>
        <w:t>tawienie dokumentów księgowych/faktur/</w:t>
      </w:r>
      <w:r w:rsidRPr="008F61FA">
        <w:rPr>
          <w:rFonts w:ascii="Times New Roman" w:hAnsi="Times New Roman" w:cs="Times New Roman"/>
          <w:b/>
          <w:sz w:val="24"/>
          <w:szCs w:val="24"/>
        </w:rPr>
        <w:t>rachunków</w:t>
      </w:r>
      <w:r w:rsidR="00BA3C7E">
        <w:rPr>
          <w:rFonts w:ascii="Times New Roman" w:hAnsi="Times New Roman" w:cs="Times New Roman"/>
          <w:b/>
          <w:sz w:val="24"/>
          <w:szCs w:val="24"/>
        </w:rPr>
        <w:t xml:space="preserve"> itp.</w:t>
      </w:r>
      <w:r w:rsidRPr="008F61FA">
        <w:rPr>
          <w:rFonts w:ascii="Times New Roman" w:hAnsi="Times New Roman" w:cs="Times New Roman"/>
          <w:b/>
          <w:sz w:val="24"/>
          <w:szCs w:val="24"/>
        </w:rPr>
        <w:t>: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953"/>
        <w:gridCol w:w="608"/>
        <w:gridCol w:w="652"/>
        <w:gridCol w:w="1112"/>
        <w:gridCol w:w="1168"/>
        <w:gridCol w:w="1316"/>
        <w:gridCol w:w="1230"/>
        <w:gridCol w:w="1276"/>
        <w:gridCol w:w="1176"/>
      </w:tblGrid>
      <w:tr w:rsidR="003415FA" w:rsidRPr="008F61FA" w:rsidTr="003415FA">
        <w:trPr>
          <w:trHeight w:val="45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Lp.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Numer </w:t>
            </w:r>
          </w:p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dokumentu 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księgowego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Numer pozycji kosztorysu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Data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wystawienia dokumentu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 xml:space="preserve">Data </w:t>
            </w:r>
            <w:r>
              <w:rPr>
                <w:b/>
                <w:color w:val="000000"/>
                <w:kern w:val="0"/>
              </w:rPr>
              <w:br/>
              <w:t>zapłaty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Nazwa 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wydatku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Kwota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Pochodzące </w:t>
            </w:r>
            <w:r w:rsidRPr="00027330">
              <w:rPr>
                <w:b/>
                <w:color w:val="000000"/>
                <w:kern w:val="0"/>
              </w:rPr>
              <w:br/>
              <w:t>z dotacji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bCs/>
                <w:color w:val="000000"/>
                <w:kern w:val="0"/>
              </w:rPr>
              <w:t>Finansowe środki własne oraz inne źródła</w:t>
            </w:r>
          </w:p>
        </w:tc>
      </w:tr>
      <w:tr w:rsidR="003415FA" w:rsidRPr="008F61FA" w:rsidTr="003415FA">
        <w:trPr>
          <w:trHeight w:val="229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bCs/>
                <w:color w:val="000000"/>
                <w:kern w:val="0"/>
              </w:rPr>
            </w:pPr>
            <w:r w:rsidRPr="00027330">
              <w:rPr>
                <w:b/>
                <w:bCs/>
                <w:color w:val="000000"/>
                <w:kern w:val="0"/>
              </w:rPr>
              <w:t>w złotych</w:t>
            </w: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1.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2.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3.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4.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5.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6.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7.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8.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9.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lastRenderedPageBreak/>
              <w:t>10.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….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3415FA">
        <w:trPr>
          <w:trHeight w:val="452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SUMA: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</w:tbl>
    <w:p w:rsidR="003415FA" w:rsidRDefault="003415F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3415FA" w:rsidRDefault="001653A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F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Odsetki bankowe od uzyskanej dotacji w (kwotę podać w zł):</w:t>
      </w:r>
    </w:p>
    <w:tbl>
      <w:tblPr>
        <w:tblW w:w="1002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8"/>
      </w:tblGrid>
      <w:tr w:rsidR="001653A4" w:rsidRPr="008F61FA" w:rsidTr="00027330">
        <w:trPr>
          <w:trHeight w:val="451"/>
        </w:trPr>
        <w:tc>
          <w:tcPr>
            <w:tcW w:w="10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tbl>
      <w:tblPr>
        <w:tblW w:w="1002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8"/>
      </w:tblGrid>
      <w:tr w:rsidR="001653A4" w:rsidRPr="008F61FA" w:rsidTr="00027330">
        <w:trPr>
          <w:trHeight w:val="451"/>
        </w:trPr>
        <w:tc>
          <w:tcPr>
            <w:tcW w:w="10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Załączniki składane przy sprawozdaniu: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846"/>
        <w:gridCol w:w="9200"/>
      </w:tblGrid>
      <w:tr w:rsidR="001653A4" w:rsidRPr="008F61FA" w:rsidTr="00027330">
        <w:tc>
          <w:tcPr>
            <w:tcW w:w="846" w:type="dxa"/>
          </w:tcPr>
          <w:p w:rsidR="001653A4" w:rsidRPr="008F61FA" w:rsidRDefault="004E3770" w:rsidP="004E37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4E37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AC282E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Oświadczam(-my), że: </w:t>
      </w:r>
    </w:p>
    <w:p w:rsidR="004E3770" w:rsidRPr="008F61FA" w:rsidRDefault="00AC282E" w:rsidP="004E3770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1) </w:t>
      </w:r>
      <w:r w:rsidR="004E3770" w:rsidRPr="008F61FA">
        <w:rPr>
          <w:rFonts w:ascii="Times New Roman" w:hAnsi="Times New Roman" w:cs="Times New Roman"/>
          <w:sz w:val="24"/>
          <w:szCs w:val="24"/>
        </w:rPr>
        <w:t xml:space="preserve">od daty zawarcia umowy </w:t>
      </w:r>
      <w:r w:rsidR="00BA3C7E">
        <w:rPr>
          <w:rFonts w:ascii="Times New Roman" w:hAnsi="Times New Roman" w:cs="Times New Roman"/>
          <w:b/>
          <w:sz w:val="24"/>
          <w:szCs w:val="24"/>
          <w:u w:val="single"/>
        </w:rPr>
        <w:t>nie zmienił / zmienił się</w:t>
      </w:r>
      <w:r w:rsidR="004E3770" w:rsidRPr="008F61FA">
        <w:rPr>
          <w:rFonts w:ascii="Times New Roman" w:hAnsi="Times New Roman" w:cs="Times New Roman"/>
          <w:sz w:val="24"/>
          <w:szCs w:val="24"/>
        </w:rPr>
        <w:t xml:space="preserve"> status prawny Klubu</w:t>
      </w:r>
      <w:r w:rsidR="00BA3C7E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BA3C7E">
        <w:rPr>
          <w:rFonts w:ascii="Times New Roman" w:hAnsi="Times New Roman" w:cs="Times New Roman"/>
          <w:b/>
          <w:i/>
          <w:sz w:val="24"/>
          <w:szCs w:val="24"/>
        </w:rPr>
        <w:t>(niewłaściwe skreślić)</w:t>
      </w:r>
      <w:r w:rsidR="004E3770" w:rsidRPr="008F61FA">
        <w:rPr>
          <w:rFonts w:ascii="Times New Roman" w:hAnsi="Times New Roman" w:cs="Times New Roman"/>
          <w:sz w:val="24"/>
          <w:szCs w:val="24"/>
        </w:rPr>
        <w:t>,</w:t>
      </w:r>
    </w:p>
    <w:p w:rsidR="004E3770" w:rsidRPr="008F61FA" w:rsidRDefault="004E3770" w:rsidP="004E377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</w:t>
      </w:r>
      <w:r w:rsidRPr="008F61FA">
        <w:rPr>
          <w:rFonts w:ascii="Times New Roman" w:hAnsi="Times New Roman" w:cs="Times New Roman"/>
          <w:sz w:val="24"/>
          <w:szCs w:val="24"/>
        </w:rPr>
        <w:br/>
        <w:t>i faktycznym,</w:t>
      </w:r>
    </w:p>
    <w:p w:rsidR="004E3770" w:rsidRPr="008F61FA" w:rsidRDefault="004E3770" w:rsidP="004E377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3) wszystkie kwoty wymienione w zestawieniu faktur (rachunków</w:t>
      </w:r>
      <w:r w:rsidR="00BA3C7E">
        <w:rPr>
          <w:rFonts w:ascii="Times New Roman" w:hAnsi="Times New Roman" w:cs="Times New Roman"/>
          <w:sz w:val="24"/>
          <w:szCs w:val="24"/>
        </w:rPr>
        <w:t>) zostały faktycznie poniesione</w:t>
      </w:r>
    </w:p>
    <w:p w:rsidR="00086D87" w:rsidRPr="008F61FA" w:rsidRDefault="00086D8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(pieczęć klubu)</w:t>
      </w:r>
    </w:p>
    <w:p w:rsidR="00E408E6" w:rsidRPr="00027330" w:rsidRDefault="00AC282E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Pr="00027330" w:rsidRDefault="00AC282E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E408E6" w:rsidRPr="008F61FA" w:rsidRDefault="00086D87" w:rsidP="00086D87">
      <w:pPr>
        <w:pStyle w:val="Standard"/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Adnotacje urzędowe</w:t>
      </w:r>
    </w:p>
    <w:tbl>
      <w:tblPr>
        <w:tblW w:w="100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2"/>
      </w:tblGrid>
      <w:tr w:rsidR="00086D87" w:rsidRPr="008F61FA" w:rsidTr="00027330">
        <w:trPr>
          <w:trHeight w:val="585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8F61FA" w:rsidRDefault="00086D87" w:rsidP="00650E9E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87" w:rsidRPr="008F61FA" w:rsidRDefault="00086D87" w:rsidP="00650E9E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87" w:rsidRPr="008F61FA" w:rsidRDefault="00086D87" w:rsidP="00650E9E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F61FA" w:rsidSect="003415FA">
      <w:pgSz w:w="11906" w:h="16838"/>
      <w:pgMar w:top="964" w:right="964" w:bottom="964" w:left="96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80" w:rsidRDefault="00AF4D80">
      <w:r>
        <w:separator/>
      </w:r>
    </w:p>
  </w:endnote>
  <w:endnote w:type="continuationSeparator" w:id="0">
    <w:p w:rsidR="00AF4D80" w:rsidRDefault="00A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80" w:rsidRDefault="00AF4D80">
      <w:r>
        <w:rPr>
          <w:color w:val="000000"/>
        </w:rPr>
        <w:separator/>
      </w:r>
    </w:p>
  </w:footnote>
  <w:footnote w:type="continuationSeparator" w:id="0">
    <w:p w:rsidR="00AF4D80" w:rsidRDefault="00AF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5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9E4"/>
    <w:multiLevelType w:val="hybridMultilevel"/>
    <w:tmpl w:val="F1668668"/>
    <w:lvl w:ilvl="0" w:tplc="EF9A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0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3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27330"/>
    <w:rsid w:val="00086D87"/>
    <w:rsid w:val="001653A4"/>
    <w:rsid w:val="00300030"/>
    <w:rsid w:val="003169B2"/>
    <w:rsid w:val="003415FA"/>
    <w:rsid w:val="00343C36"/>
    <w:rsid w:val="004E3770"/>
    <w:rsid w:val="00574275"/>
    <w:rsid w:val="00596D06"/>
    <w:rsid w:val="0069297D"/>
    <w:rsid w:val="006A4787"/>
    <w:rsid w:val="0070475F"/>
    <w:rsid w:val="007106CC"/>
    <w:rsid w:val="008B18CD"/>
    <w:rsid w:val="008F61FA"/>
    <w:rsid w:val="009741AB"/>
    <w:rsid w:val="009E7879"/>
    <w:rsid w:val="00A21724"/>
    <w:rsid w:val="00AB6BE1"/>
    <w:rsid w:val="00AC282E"/>
    <w:rsid w:val="00AF4D80"/>
    <w:rsid w:val="00B45DE0"/>
    <w:rsid w:val="00B864D8"/>
    <w:rsid w:val="00BA3C7E"/>
    <w:rsid w:val="00BB2B99"/>
    <w:rsid w:val="00BD46C2"/>
    <w:rsid w:val="00D4165C"/>
    <w:rsid w:val="00E408E6"/>
    <w:rsid w:val="00E63608"/>
    <w:rsid w:val="00EA717D"/>
    <w:rsid w:val="00F23D02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A479-A2AF-4B4E-B456-0FBDC48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Dziedzic Karolina</cp:lastModifiedBy>
  <cp:revision>8</cp:revision>
  <cp:lastPrinted>2018-01-22T13:37:00Z</cp:lastPrinted>
  <dcterms:created xsi:type="dcterms:W3CDTF">2018-01-22T13:18:00Z</dcterms:created>
  <dcterms:modified xsi:type="dcterms:W3CDTF">2018-01-26T08:51:00Z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